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42" w:rsidRDefault="00FD2442" w:rsidP="00FD2442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proofErr w:type="gramStart"/>
      <w:r>
        <w:rPr>
          <w:rFonts w:cs="Times New Roman"/>
          <w:szCs w:val="28"/>
        </w:rPr>
        <w:t>Зарегистрирован</w:t>
      </w:r>
      <w:proofErr w:type="gramEnd"/>
      <w:r>
        <w:rPr>
          <w:rFonts w:cs="Times New Roman"/>
          <w:szCs w:val="28"/>
        </w:rPr>
        <w:t xml:space="preserve"> в правовом управлении Правительства Ярославской области 28.04.2022 № 10-12482</w:t>
      </w:r>
    </w:p>
    <w:p w:rsidR="00FD2442" w:rsidRDefault="00FD2442" w:rsidP="00FD2442">
      <w:pPr>
        <w:ind w:firstLine="0"/>
        <w:jc w:val="center"/>
        <w:rPr>
          <w:b/>
        </w:rPr>
      </w:pPr>
    </w:p>
    <w:p w:rsidR="00FD2442" w:rsidRDefault="00FD2442" w:rsidP="00FD2442">
      <w:pPr>
        <w:ind w:firstLine="0"/>
        <w:jc w:val="center"/>
        <w:rPr>
          <w:b/>
        </w:rPr>
      </w:pPr>
      <w:r>
        <w:rPr>
          <w:b/>
        </w:rPr>
        <w:t>ДЕПАРТАМЕНТ ОБРАЗОВАНИЯ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:rsidR="00FD2442" w:rsidRDefault="00FD2442" w:rsidP="00FD2442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:rsidR="00FD2442" w:rsidRDefault="00FD2442" w:rsidP="00FD2442">
      <w:pPr>
        <w:ind w:firstLine="0"/>
        <w:rPr>
          <w:szCs w:val="24"/>
        </w:rPr>
      </w:pPr>
    </w:p>
    <w:p w:rsidR="00FD2442" w:rsidRDefault="00FD2442" w:rsidP="00FD2442">
      <w:pPr>
        <w:ind w:firstLine="0"/>
        <w:rPr>
          <w:szCs w:val="24"/>
        </w:rPr>
      </w:pPr>
      <w:r>
        <w:rPr>
          <w:szCs w:val="24"/>
        </w:rPr>
        <w:t>от 28.04.2022 № 16-нп</w:t>
      </w:r>
    </w:p>
    <w:p w:rsidR="00FD2442" w:rsidRDefault="00FD2442" w:rsidP="00FD2442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:rsidR="00FD2442" w:rsidRDefault="00FD2442" w:rsidP="00FD2442">
      <w:pPr>
        <w:ind w:right="5101"/>
        <w:jc w:val="both"/>
        <w:rPr>
          <w:rFonts w:cs="Times New Roman"/>
          <w:szCs w:val="28"/>
        </w:rPr>
      </w:pPr>
    </w:p>
    <w:p w:rsidR="00FD2442" w:rsidRDefault="00FD2442" w:rsidP="00FD2442">
      <w:pPr>
        <w:ind w:right="5101"/>
        <w:jc w:val="both"/>
        <w:rPr>
          <w:rFonts w:cs="Times New Roman"/>
          <w:szCs w:val="28"/>
        </w:rPr>
      </w:pPr>
    </w:p>
    <w:p w:rsidR="00FD2442" w:rsidRDefault="00FD2442" w:rsidP="00FD2442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>
          <w:rPr>
            <w:rFonts w:cs="Times New Roman"/>
            <w:szCs w:val="28"/>
          </w:rPr>
          <w:t>Об утверждении коэффициентов, применяемых в 2022 году при составлении рейтинга участников индивидуального отбора для получения среднего общего образования</w:t>
        </w:r>
      </w:fldSimple>
    </w:p>
    <w:p w:rsidR="00FD2442" w:rsidRDefault="00FD2442" w:rsidP="00FD2442">
      <w:pPr>
        <w:ind w:right="-2" w:firstLine="0"/>
        <w:jc w:val="both"/>
        <w:rPr>
          <w:rFonts w:cs="Times New Roman"/>
          <w:szCs w:val="28"/>
        </w:rPr>
      </w:pPr>
    </w:p>
    <w:p w:rsidR="00FD2442" w:rsidRDefault="00FD2442" w:rsidP="00FD2442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p w:rsidR="00FD2442" w:rsidRPr="008F0362" w:rsidRDefault="00FD2442" w:rsidP="00FD2442">
      <w:pPr>
        <w:ind w:right="-2"/>
        <w:jc w:val="both"/>
        <w:rPr>
          <w:rFonts w:cs="Times New Roman"/>
          <w:szCs w:val="28"/>
        </w:rPr>
      </w:pPr>
    </w:p>
    <w:p w:rsidR="00FD2442" w:rsidRPr="003F2728" w:rsidRDefault="00FD2442" w:rsidP="00FD2442">
      <w:pPr>
        <w:ind w:firstLine="708"/>
        <w:jc w:val="both"/>
        <w:rPr>
          <w:rFonts w:cs="Times New Roman"/>
          <w:szCs w:val="28"/>
        </w:rPr>
      </w:pPr>
      <w:proofErr w:type="gramStart"/>
      <w:r w:rsidRPr="00D92DD1">
        <w:rPr>
          <w:rFonts w:cs="Times New Roman"/>
          <w:szCs w:val="28"/>
        </w:rPr>
        <w:t>В соответствии с подпунктом 9.2 пункта 9 Порядка организации индивидуального отбора при приеме</w:t>
      </w:r>
      <w:r>
        <w:rPr>
          <w:rFonts w:cs="Times New Roman"/>
          <w:szCs w:val="28"/>
        </w:rPr>
        <w:t xml:space="preserve"> (переводе) в государственные и </w:t>
      </w:r>
      <w:r w:rsidRPr="00D92DD1">
        <w:rPr>
          <w:rFonts w:cs="Times New Roman"/>
          <w:szCs w:val="28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области, утверждённого приказом департамента обр</w:t>
      </w:r>
      <w:r>
        <w:rPr>
          <w:rFonts w:cs="Times New Roman"/>
          <w:szCs w:val="28"/>
        </w:rPr>
        <w:t>азования Ярославской области от </w:t>
      </w:r>
      <w:r w:rsidRPr="00D92DD1">
        <w:rPr>
          <w:rFonts w:cs="Times New Roman"/>
          <w:szCs w:val="28"/>
        </w:rPr>
        <w:t>06.08.2014 № 27-нп «Об утверждении Порядка организации индивидуального отбора при приеме</w:t>
      </w:r>
      <w:r>
        <w:rPr>
          <w:rFonts w:cs="Times New Roman"/>
          <w:szCs w:val="28"/>
        </w:rPr>
        <w:t xml:space="preserve"> (переводе) в</w:t>
      </w:r>
      <w:proofErr w:type="gramEnd"/>
      <w:r>
        <w:rPr>
          <w:rFonts w:cs="Times New Roman"/>
          <w:szCs w:val="28"/>
        </w:rPr>
        <w:t xml:space="preserve"> государственные и </w:t>
      </w:r>
      <w:r w:rsidRPr="00D92DD1">
        <w:rPr>
          <w:rFonts w:cs="Times New Roman"/>
          <w:szCs w:val="28"/>
        </w:rPr>
        <w:t>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</w:t>
      </w:r>
    </w:p>
    <w:p w:rsidR="00FD2442" w:rsidRPr="00A61019" w:rsidRDefault="00FD2442" w:rsidP="00FD244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</w:t>
      </w:r>
      <w:r w:rsidRPr="001B3A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ПРИКАЗЫВАЕТ:</w:t>
      </w:r>
    </w:p>
    <w:p w:rsidR="00FD2442" w:rsidRPr="004645FF" w:rsidRDefault="00FD2442" w:rsidP="00FD244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Утвердить прилагаемые коэффициенты по каждому учебному предмету, применяемые в 2022 году для приведения результатов государственной итоговой аттестации по образовательной программе основного общего образования (в том числе проводимой в форме г</w:t>
      </w:r>
      <w:r w:rsidRPr="000F0D2B">
        <w:rPr>
          <w:szCs w:val="28"/>
        </w:rPr>
        <w:t>осударственн</w:t>
      </w:r>
      <w:r>
        <w:rPr>
          <w:szCs w:val="28"/>
        </w:rPr>
        <w:t>ого</w:t>
      </w:r>
      <w:r w:rsidRPr="000F0D2B">
        <w:rPr>
          <w:szCs w:val="28"/>
        </w:rPr>
        <w:t xml:space="preserve"> выпускно</w:t>
      </w:r>
      <w:r>
        <w:rPr>
          <w:szCs w:val="28"/>
        </w:rPr>
        <w:t>го</w:t>
      </w:r>
      <w:r w:rsidRPr="000F0D2B">
        <w:rPr>
          <w:szCs w:val="28"/>
        </w:rPr>
        <w:t xml:space="preserve"> экзамен</w:t>
      </w:r>
      <w:r>
        <w:rPr>
          <w:szCs w:val="28"/>
        </w:rPr>
        <w:t>а) к 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образования.</w:t>
      </w:r>
    </w:p>
    <w:p w:rsidR="00FD2442" w:rsidRDefault="00FD2442" w:rsidP="00FD244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 Утвердить следующие коэффициенты, применяемые в 2022 году для приведения отметок, указанных в аттестате об основном общем образовании, к балльной системе, используемой при составлении рейтинга для </w:t>
      </w:r>
      <w:r>
        <w:rPr>
          <w:szCs w:val="28"/>
        </w:rPr>
        <w:lastRenderedPageBreak/>
        <w:t>индивидуального отбора для профильного обучения при получении среднего общего образования:</w:t>
      </w:r>
    </w:p>
    <w:p w:rsidR="00FD2442" w:rsidRPr="007E5439" w:rsidRDefault="00FD2442" w:rsidP="00FD244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 xml:space="preserve">1 – для всех учебных предметов, определяющих профиль обучения и изучаемых по программам основного общего образования на базовом уровне; </w:t>
      </w:r>
    </w:p>
    <w:p w:rsidR="00FD2442" w:rsidRPr="009C0DE2" w:rsidRDefault="00FD2442" w:rsidP="00FD244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1,25 – для учебных предметов, определяющих профиль обучения и изучаемых по программам основного общего образования на углубленном уровне;</w:t>
      </w:r>
    </w:p>
    <w:p w:rsidR="00FD2442" w:rsidRPr="007E5439" w:rsidRDefault="00FD2442" w:rsidP="00FD244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E5439">
        <w:rPr>
          <w:szCs w:val="28"/>
        </w:rPr>
        <w:t>1 – для среднего балла аттестата.</w:t>
      </w:r>
    </w:p>
    <w:p w:rsidR="00FD2442" w:rsidRDefault="00FD2442" w:rsidP="00FD244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 Утвердить коэффициент равный 9, применяемый в 2022 году для приведения отметок по учебным предметам </w:t>
      </w:r>
      <w:r w:rsidRPr="002921F6">
        <w:rPr>
          <w:szCs w:val="28"/>
        </w:rPr>
        <w:t>к балльной системе для</w:t>
      </w:r>
      <w:r w:rsidRPr="002921F6">
        <w:rPr>
          <w:rFonts w:cs="Times New Roman"/>
          <w:szCs w:val="28"/>
        </w:rPr>
        <w:t xml:space="preserve"> использования в качестве результата государственной итоговой аттестации</w:t>
      </w:r>
      <w:r w:rsidRPr="002921F6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2921F6">
        <w:rPr>
          <w:szCs w:val="28"/>
        </w:rPr>
        <w:t>образовательной программе основного общего образования при составлении рейтинга участников индивидуального отбора для профильного обучения при получении среднего о</w:t>
      </w:r>
      <w:r>
        <w:rPr>
          <w:szCs w:val="28"/>
        </w:rPr>
        <w:t>бщего образования, указанных:</w:t>
      </w:r>
    </w:p>
    <w:p w:rsidR="00FD2442" w:rsidRPr="000D2B26" w:rsidRDefault="00FD2442" w:rsidP="00FD2442">
      <w:pPr>
        <w:pStyle w:val="a3"/>
        <w:overflowPunct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в </w:t>
      </w:r>
      <w:r w:rsidRPr="000D2B26">
        <w:rPr>
          <w:szCs w:val="28"/>
        </w:rPr>
        <w:t xml:space="preserve">аттестате об основном общем образовании, полученном в 2020 году; </w:t>
      </w:r>
    </w:p>
    <w:p w:rsidR="00FD2442" w:rsidRPr="007E5439" w:rsidRDefault="00FD2442" w:rsidP="00FD244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 </w:t>
      </w:r>
      <w:r w:rsidRPr="007E5439">
        <w:rPr>
          <w:szCs w:val="28"/>
        </w:rPr>
        <w:t>аттестате об основном общем образовании, полученном в 2021 году, за исключением отметок по учебным предметам «Русский язык» и</w:t>
      </w:r>
      <w:r>
        <w:rPr>
          <w:szCs w:val="28"/>
        </w:rPr>
        <w:t> </w:t>
      </w:r>
      <w:r w:rsidRPr="007E5439">
        <w:rPr>
          <w:szCs w:val="28"/>
        </w:rPr>
        <w:t>«Математика»;</w:t>
      </w:r>
    </w:p>
    <w:p w:rsidR="00FD2442" w:rsidRPr="009C0DE2" w:rsidRDefault="00FD2442" w:rsidP="00FD244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 </w:t>
      </w:r>
      <w:r w:rsidRPr="007E5439">
        <w:rPr>
          <w:szCs w:val="28"/>
        </w:rPr>
        <w:t>аттестате об основном общем образовании, полученном в 2022 году гражданами, проходившими обучение за рубежом и вынужденных прервать его в связи с недружественными действиями иностранных государств</w:t>
      </w:r>
      <w:r w:rsidRPr="009C0DE2">
        <w:rPr>
          <w:szCs w:val="28"/>
        </w:rPr>
        <w:t>.</w:t>
      </w:r>
    </w:p>
    <w:p w:rsidR="00FD2442" w:rsidRPr="007E5439" w:rsidRDefault="00FD2442" w:rsidP="00FD2442">
      <w:pPr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Pr="007E5439">
        <w:rPr>
          <w:szCs w:val="28"/>
        </w:rPr>
        <w:t>Контроль за</w:t>
      </w:r>
      <w:proofErr w:type="gramEnd"/>
      <w:r w:rsidRPr="007E5439">
        <w:rPr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FD2442" w:rsidRDefault="00FD2442" w:rsidP="00FD244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5. </w:t>
      </w:r>
      <w:r w:rsidRPr="0043507F">
        <w:rPr>
          <w:szCs w:val="28"/>
        </w:rPr>
        <w:t>Приказ вступает в силу через 10 дней после его официального опубликования.</w:t>
      </w:r>
    </w:p>
    <w:p w:rsidR="00FD2442" w:rsidRDefault="00FD2442" w:rsidP="00FD2442">
      <w:pPr>
        <w:jc w:val="both"/>
        <w:rPr>
          <w:rFonts w:cs="Times New Roman"/>
          <w:szCs w:val="28"/>
        </w:rPr>
      </w:pPr>
    </w:p>
    <w:p w:rsidR="00FD2442" w:rsidRDefault="00FD2442" w:rsidP="00FD2442">
      <w:pPr>
        <w:jc w:val="both"/>
        <w:rPr>
          <w:rFonts w:cs="Times New Roman"/>
          <w:szCs w:val="28"/>
        </w:rPr>
      </w:pPr>
    </w:p>
    <w:p w:rsidR="00FD2442" w:rsidRDefault="00FD2442" w:rsidP="00FD2442">
      <w:pPr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442" w:rsidTr="00B07D7B">
        <w:tc>
          <w:tcPr>
            <w:tcW w:w="4785" w:type="dxa"/>
          </w:tcPr>
          <w:p w:rsidR="00FD2442" w:rsidRDefault="00FD2442" w:rsidP="00B07D7B">
            <w:pPr>
              <w:ind w:firstLine="0"/>
            </w:pPr>
            <w:fldSimple w:instr=" DOCPROPERTY &quot;Р*Подписант...*Должность&quot; \* MERGEFORMAT ">
              <w:r>
                <w:rPr>
                  <w:rFonts w:cs="Times New Roman"/>
                  <w:szCs w:val="28"/>
                </w:rPr>
                <w:t>Директор департамента</w:t>
              </w:r>
            </w:fldSimple>
          </w:p>
        </w:tc>
        <w:tc>
          <w:tcPr>
            <w:tcW w:w="4786" w:type="dxa"/>
            <w:vAlign w:val="bottom"/>
          </w:tcPr>
          <w:p w:rsidR="00FD2442" w:rsidRDefault="00FD2442" w:rsidP="00B07D7B">
            <w:pPr>
              <w:tabs>
                <w:tab w:val="right" w:pos="8931"/>
              </w:tabs>
              <w:ind w:firstLine="0"/>
              <w:jc w:val="right"/>
            </w:pPr>
            <w:fldSimple w:instr=" DOCPROPERTY &quot;Р*Подписант...*ИОФамилия&quot; \* MERGEFORMAT ">
              <w:r>
                <w:rPr>
                  <w:rFonts w:cs="Times New Roman"/>
                  <w:szCs w:val="28"/>
                </w:rPr>
                <w:t>И.В. Лобода</w:t>
              </w:r>
            </w:fldSimple>
          </w:p>
        </w:tc>
      </w:tr>
    </w:tbl>
    <w:p w:rsidR="00FD2442" w:rsidRDefault="00FD2442" w:rsidP="00FD2442">
      <w:pPr>
        <w:jc w:val="both"/>
        <w:sectPr w:rsidR="00FD2442" w:rsidSect="00EF10A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lastRenderedPageBreak/>
        <w:t>УТВЕРЖДЕНЫ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приказом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департамента образования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>Ярославской области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  <w:r w:rsidRPr="00C96DF6">
        <w:rPr>
          <w:rFonts w:cs="Times New Roman"/>
          <w:szCs w:val="28"/>
        </w:rPr>
        <w:t xml:space="preserve">от </w:t>
      </w:r>
      <w:r>
        <w:rPr>
          <w:szCs w:val="24"/>
        </w:rPr>
        <w:t>28.04.2022 № 16-нп</w:t>
      </w: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b/>
          <w:szCs w:val="28"/>
          <w:lang w:eastAsia="ru-RU"/>
        </w:rPr>
      </w:pPr>
      <w:r w:rsidRPr="00C96DF6">
        <w:rPr>
          <w:rFonts w:cs="Times New Roman"/>
          <w:b/>
          <w:szCs w:val="28"/>
          <w:lang w:eastAsia="ru-RU"/>
        </w:rPr>
        <w:t xml:space="preserve">КОЭФФИЦИЕНТЫ, </w:t>
      </w: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  <w:proofErr w:type="gramStart"/>
      <w:r w:rsidRPr="00C96DF6">
        <w:rPr>
          <w:rFonts w:cs="Times New Roman"/>
          <w:b/>
          <w:szCs w:val="28"/>
          <w:lang w:eastAsia="ru-RU"/>
        </w:rPr>
        <w:t>по каждому учебному предмету, применяемые в 2022 году для приведения результатов государственной итоговой аттестации по образовательной программе основного общего образования (в том числе проводимой в форме государственного выпускного экзамена) к балльной системе, используемой при составлении рейтинга для индивидуального отбора для профильного обучения при получении среднего общего образования</w:t>
      </w:r>
      <w:proofErr w:type="gramEnd"/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lang w:val="en-US" w:eastAsia="ru-RU"/>
        </w:rPr>
        <w:t>I</w:t>
      </w:r>
      <w:r w:rsidRPr="00C96DF6">
        <w:rPr>
          <w:rFonts w:cs="Times New Roman"/>
          <w:szCs w:val="28"/>
          <w:lang w:eastAsia="ru-RU"/>
        </w:rPr>
        <w:t>. Коэффициенты, применяемые для приведения результатов государственной итоговой аттестации по образовательной программе основного общего образования к балльной системе</w:t>
      </w: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left="1080" w:right="109" w:firstLine="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(в ред. приказа департамента от 23.05.2022 № 25-нп)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3118"/>
      </w:tblGrid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proofErr w:type="gram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C96DF6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FD2442" w:rsidRPr="00C96DF6" w:rsidRDefault="00FD2442" w:rsidP="00FD2442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3118"/>
      </w:tblGrid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1,37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szCs w:val="28"/>
              </w:rPr>
              <w:t>1,13</w:t>
            </w:r>
          </w:p>
        </w:tc>
      </w:tr>
      <w:tr w:rsidR="00FD2442" w:rsidRPr="00C96DF6" w:rsidTr="00B07D7B">
        <w:trPr>
          <w:trHeight w:val="32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1,46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1,00</w:t>
            </w:r>
          </w:p>
        </w:tc>
      </w:tr>
      <w:tr w:rsidR="00FD2442" w:rsidRPr="00C96DF6" w:rsidTr="00B07D7B">
        <w:trPr>
          <w:trHeight w:val="31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2,37</w:t>
            </w:r>
          </w:p>
        </w:tc>
      </w:tr>
      <w:tr w:rsidR="00FD2442" w:rsidRPr="00C96DF6" w:rsidTr="00B07D7B">
        <w:trPr>
          <w:trHeight w:val="32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0,66</w:t>
            </w:r>
          </w:p>
        </w:tc>
      </w:tr>
    </w:tbl>
    <w:p w:rsidR="00FD2442" w:rsidRPr="00C96DF6" w:rsidRDefault="00FD2442" w:rsidP="00FD2442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письменной форме) к балльной системе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3118"/>
      </w:tblGrid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proofErr w:type="gram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C96DF6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FD2442" w:rsidRPr="00C96DF6" w:rsidRDefault="00FD2442" w:rsidP="00FD2442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3118"/>
      </w:tblGrid>
      <w:tr w:rsidR="00FD2442" w:rsidRPr="00C96DF6" w:rsidTr="00B07D7B">
        <w:trPr>
          <w:trHeight w:val="296"/>
          <w:tblHeader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литерами «А»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1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 xml:space="preserve"> и «С»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2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 xml:space="preserve">Математика 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(за выполнение экзаменационной работы с литерой «К»</w:t>
            </w:r>
            <w:r w:rsidRPr="00C96DF6">
              <w:rPr>
                <w:rFonts w:cs="Times New Roman"/>
                <w:color w:val="000000"/>
                <w:spacing w:val="5"/>
                <w:szCs w:val="28"/>
                <w:vertAlign w:val="superscript"/>
                <w:lang w:eastAsia="ru-RU"/>
              </w:rPr>
              <w:t>3</w:t>
            </w:r>
            <w:r w:rsidRPr="00C96DF6">
              <w:rPr>
                <w:rFonts w:cs="Times New Roman"/>
                <w:color w:val="000000"/>
                <w:spacing w:val="5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Del="001551B8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FD2442" w:rsidRPr="00C96DF6" w:rsidTr="00B07D7B">
        <w:trPr>
          <w:trHeight w:val="310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1,22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1,96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1,88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1,61</w:t>
            </w:r>
          </w:p>
        </w:tc>
      </w:tr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3,22</w:t>
            </w:r>
          </w:p>
        </w:tc>
      </w:tr>
      <w:tr w:rsidR="00FD2442" w:rsidRPr="00C96DF6" w:rsidTr="00B07D7B">
        <w:trPr>
          <w:trHeight w:val="310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1,33</w:t>
            </w:r>
          </w:p>
        </w:tc>
      </w:tr>
    </w:tbl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center"/>
        <w:rPr>
          <w:rFonts w:cs="Times New Roman"/>
          <w:szCs w:val="28"/>
          <w:lang w:eastAsia="ru-RU"/>
        </w:rPr>
      </w:pPr>
    </w:p>
    <w:p w:rsidR="00FD2442" w:rsidRPr="00C96DF6" w:rsidRDefault="00FD2442" w:rsidP="00FD2442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ar-SA"/>
        </w:rPr>
      </w:pPr>
      <w:r w:rsidRPr="00C96DF6">
        <w:rPr>
          <w:rFonts w:cs="Times New Roman"/>
          <w:szCs w:val="28"/>
          <w:vertAlign w:val="superscript"/>
          <w:lang w:eastAsia="ru-RU"/>
        </w:rPr>
        <w:t>1</w:t>
      </w:r>
      <w:r w:rsidRPr="00C96DF6">
        <w:rPr>
          <w:rFonts w:cs="Times New Roman"/>
          <w:szCs w:val="28"/>
          <w:lang w:eastAsia="ru-RU"/>
        </w:rPr>
        <w:t> </w:t>
      </w:r>
      <w:r w:rsidRPr="00C96DF6">
        <w:rPr>
          <w:rFonts w:cs="Times New Roman"/>
          <w:szCs w:val="28"/>
          <w:lang w:eastAsia="ar-SA"/>
        </w:rPr>
        <w:t>Экзаменационные материалы для участников с ограниченными возможностями здоровья (за исключением участников с задержкой психического развития, обучающихся по адаптированным основным общеобразовательным программам).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ar-SA"/>
        </w:rPr>
      </w:pPr>
      <w:r w:rsidRPr="00C96DF6">
        <w:rPr>
          <w:rFonts w:cs="Times New Roman"/>
          <w:szCs w:val="28"/>
          <w:vertAlign w:val="superscript"/>
          <w:lang w:eastAsia="ar-SA"/>
        </w:rPr>
        <w:t>2</w:t>
      </w:r>
      <w:r w:rsidRPr="00C96DF6">
        <w:rPr>
          <w:rFonts w:cs="Times New Roman"/>
          <w:szCs w:val="28"/>
          <w:lang w:eastAsia="ar-SA"/>
        </w:rPr>
        <w:t xml:space="preserve"> Экзаменационные материалы для слепых обучающихся, слабовидящих и </w:t>
      </w:r>
      <w:proofErr w:type="spellStart"/>
      <w:r w:rsidRPr="00C96DF6">
        <w:rPr>
          <w:rFonts w:cs="Times New Roman"/>
          <w:szCs w:val="28"/>
          <w:lang w:eastAsia="ar-SA"/>
        </w:rPr>
        <w:t>поздноослепших</w:t>
      </w:r>
      <w:proofErr w:type="spellEnd"/>
      <w:r w:rsidRPr="00C96DF6">
        <w:rPr>
          <w:rFonts w:cs="Times New Roman"/>
          <w:szCs w:val="28"/>
          <w:lang w:eastAsia="ar-SA"/>
        </w:rPr>
        <w:t xml:space="preserve"> обучающихся, владеющих шрифтом Брайля.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96DF6">
        <w:rPr>
          <w:rFonts w:cs="Times New Roman"/>
          <w:szCs w:val="28"/>
          <w:vertAlign w:val="superscript"/>
          <w:lang w:eastAsia="ar-SA"/>
        </w:rPr>
        <w:t>3</w:t>
      </w:r>
      <w:r w:rsidRPr="00C96DF6">
        <w:rPr>
          <w:rFonts w:cs="Times New Roman"/>
          <w:szCs w:val="28"/>
          <w:lang w:eastAsia="ar-SA"/>
        </w:rPr>
        <w:t> Экзаменационные материалы для участников с задержкой психического развития, обучающихся по адаптированным основным общеобразовательным программам.</w:t>
      </w: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right="109" w:firstLine="0"/>
        <w:jc w:val="both"/>
        <w:rPr>
          <w:rFonts w:cs="Times New Roman"/>
          <w:szCs w:val="28"/>
          <w:lang w:eastAsia="ru-RU"/>
        </w:rPr>
      </w:pPr>
    </w:p>
    <w:p w:rsidR="00FD2442" w:rsidRPr="00C96DF6" w:rsidRDefault="00FD2442" w:rsidP="00FD2442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pacing w:val="-4"/>
          <w:szCs w:val="28"/>
          <w:lang w:eastAsia="ru-RU"/>
        </w:rPr>
      </w:pPr>
      <w:r w:rsidRPr="00C96DF6">
        <w:rPr>
          <w:rFonts w:cs="Times New Roman"/>
          <w:spacing w:val="-4"/>
          <w:szCs w:val="28"/>
          <w:lang w:val="en-US" w:eastAsia="ru-RU"/>
        </w:rPr>
        <w:t>III</w:t>
      </w:r>
      <w:r w:rsidRPr="00C96DF6">
        <w:rPr>
          <w:rFonts w:cs="Times New Roman"/>
          <w:spacing w:val="-4"/>
          <w:szCs w:val="28"/>
          <w:lang w:eastAsia="ru-RU"/>
        </w:rPr>
        <w:t>. Коэффициенты, применяемые для приведения результатов государственного выпускного экзамена (в устной форме) к балльной системе</w:t>
      </w:r>
    </w:p>
    <w:p w:rsidR="00FD2442" w:rsidRPr="00C96DF6" w:rsidRDefault="00FD2442" w:rsidP="00FD2442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3118"/>
      </w:tblGrid>
      <w:tr w:rsidR="00FD2442" w:rsidRPr="00C96DF6" w:rsidTr="00B07D7B">
        <w:trPr>
          <w:trHeight w:val="296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proofErr w:type="gram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C96DF6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C96DF6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Учебный предмет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Коэффициент</w:t>
            </w:r>
          </w:p>
        </w:tc>
      </w:tr>
    </w:tbl>
    <w:p w:rsidR="00FD2442" w:rsidRPr="00C96DF6" w:rsidRDefault="00FD2442" w:rsidP="00FD2442">
      <w:pPr>
        <w:overflowPunct w:val="0"/>
        <w:autoSpaceDE w:val="0"/>
        <w:autoSpaceDN w:val="0"/>
        <w:adjustRightInd w:val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3118"/>
      </w:tblGrid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2,65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6,43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4,50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2,25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7,50</w:t>
            </w:r>
          </w:p>
        </w:tc>
      </w:tr>
      <w:tr w:rsidR="00FD2442" w:rsidRPr="00C96DF6" w:rsidTr="00B07D7B">
        <w:trPr>
          <w:trHeight w:val="1"/>
        </w:trPr>
        <w:tc>
          <w:tcPr>
            <w:tcW w:w="99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D2442" w:rsidRPr="00C96DF6" w:rsidRDefault="00FD2442" w:rsidP="00B07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C96DF6">
              <w:rPr>
                <w:rFonts w:eastAsia="Calibri" w:cs="Times New Roman"/>
                <w:szCs w:val="28"/>
                <w:lang w:eastAsia="ru-RU"/>
              </w:rPr>
              <w:t>5,63</w:t>
            </w:r>
          </w:p>
        </w:tc>
      </w:tr>
    </w:tbl>
    <w:p w:rsidR="00FD2442" w:rsidRPr="00C96DF6" w:rsidRDefault="00FD2442" w:rsidP="00FD2442">
      <w:pPr>
        <w:overflowPunct w:val="0"/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p w:rsidR="00FD2442" w:rsidRPr="002743FF" w:rsidRDefault="00FD2442" w:rsidP="00FD2442">
      <w:r>
        <w:br/>
      </w:r>
    </w:p>
    <w:p w:rsidR="004A71C3" w:rsidRDefault="004A71C3"/>
    <w:sectPr w:rsidR="004A71C3" w:rsidSect="00EF10A2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FD24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659B1" w:rsidTr="00F659B1">
      <w:tc>
        <w:tcPr>
          <w:tcW w:w="3333" w:type="pct"/>
          <w:shd w:val="clear" w:color="auto" w:fill="auto"/>
        </w:tcPr>
        <w:p w:rsidR="00F659B1" w:rsidRPr="00F659B1" w:rsidRDefault="00FD2442" w:rsidP="00F659B1">
          <w:pPr>
            <w:pStyle w:val="a7"/>
            <w:ind w:firstLine="0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Государственная эталонная база данных </w:t>
          </w:r>
          <w:r w:rsidRPr="00F659B1">
            <w:rPr>
              <w:rFonts w:cs="Times New Roman"/>
              <w:color w:val="808080"/>
              <w:sz w:val="18"/>
            </w:rPr>
            <w:t>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659B1" w:rsidRPr="00F659B1" w:rsidRDefault="00FD2442" w:rsidP="00F659B1">
          <w:pPr>
            <w:pStyle w:val="a7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Страница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  <w:r w:rsidRPr="00F659B1">
            <w:rPr>
              <w:rFonts w:cs="Times New Roman"/>
              <w:color w:val="808080"/>
              <w:sz w:val="18"/>
            </w:rPr>
            <w:t xml:space="preserve"> из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5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F659B1" w:rsidRDefault="00FD2442" w:rsidP="00F659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659B1" w:rsidTr="00F659B1">
      <w:tc>
        <w:tcPr>
          <w:tcW w:w="3333" w:type="pct"/>
          <w:shd w:val="clear" w:color="auto" w:fill="auto"/>
        </w:tcPr>
        <w:p w:rsidR="00F659B1" w:rsidRPr="00F659B1" w:rsidRDefault="00FD2442" w:rsidP="00F659B1">
          <w:pPr>
            <w:pStyle w:val="a7"/>
            <w:ind w:firstLine="0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659B1" w:rsidRPr="00F659B1" w:rsidRDefault="00FD2442" w:rsidP="00F659B1">
          <w:pPr>
            <w:pStyle w:val="a7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659B1">
            <w:rPr>
              <w:rFonts w:cs="Times New Roman"/>
              <w:color w:val="808080"/>
              <w:sz w:val="18"/>
            </w:rPr>
            <w:t xml:space="preserve">Страница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  <w:r w:rsidRPr="00F659B1">
            <w:rPr>
              <w:rFonts w:cs="Times New Roman"/>
              <w:color w:val="808080"/>
              <w:sz w:val="18"/>
            </w:rPr>
            <w:t xml:space="preserve"> из </w:t>
          </w:r>
          <w:r w:rsidRPr="00F659B1">
            <w:rPr>
              <w:rFonts w:cs="Times New Roman"/>
              <w:color w:val="808080"/>
              <w:sz w:val="18"/>
            </w:rPr>
            <w:fldChar w:fldCharType="begin"/>
          </w:r>
          <w:r w:rsidRPr="00F659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659B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5</w:t>
          </w:r>
          <w:r w:rsidRPr="00F659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F659B1" w:rsidRDefault="00FD2442" w:rsidP="00F659B1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FD24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F659B1" w:rsidRDefault="00FD2442" w:rsidP="00F659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FD24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42"/>
    <w:rsid w:val="004A71C3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4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42"/>
    <w:pPr>
      <w:ind w:left="720" w:firstLine="0"/>
      <w:contextualSpacing/>
    </w:pPr>
    <w:rPr>
      <w:rFonts w:eastAsia="Calibri" w:cs="Times New Roman"/>
    </w:rPr>
  </w:style>
  <w:style w:type="table" w:styleId="a4">
    <w:name w:val="Table Grid"/>
    <w:basedOn w:val="a1"/>
    <w:uiPriority w:val="99"/>
    <w:rsid w:val="00FD244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D2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2442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FD2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2442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2022-06-03T17:05:00Z</dcterms:created>
  <dcterms:modified xsi:type="dcterms:W3CDTF">2022-06-03T17:05:00Z</dcterms:modified>
</cp:coreProperties>
</file>